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91" w:rsidRPr="00897E32" w:rsidRDefault="001C3891" w:rsidP="001C3891">
      <w:pPr>
        <w:pStyle w:val="Cabealh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97E32">
        <w:rPr>
          <w:rFonts w:ascii="Times New Roman" w:hAnsi="Times New Roman" w:cs="Times New Roman"/>
          <w:b/>
        </w:rPr>
        <w:t xml:space="preserve">ANEXO </w:t>
      </w:r>
      <w:r w:rsidR="00C67B50" w:rsidRPr="00897E32">
        <w:rPr>
          <w:rFonts w:ascii="Times New Roman" w:hAnsi="Times New Roman" w:cs="Times New Roman"/>
          <w:b/>
        </w:rPr>
        <w:t>3</w:t>
      </w:r>
    </w:p>
    <w:p w:rsidR="00012AF2" w:rsidRPr="00DB58C6" w:rsidRDefault="00DB58C6" w:rsidP="001C3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8C6">
        <w:rPr>
          <w:rFonts w:ascii="Times New Roman" w:eastAsia="Times New Roman" w:hAnsi="Times New Roman" w:cs="Times New Roman"/>
          <w:sz w:val="24"/>
          <w:szCs w:val="24"/>
        </w:rPr>
        <w:t>Lista de Avaliação Socioambiental Preliminar</w:t>
      </w:r>
      <w:r w:rsidRPr="00DB5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E6E" w:rsidRPr="00934CB7" w:rsidRDefault="008C6E6E" w:rsidP="001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1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5"/>
        <w:gridCol w:w="1276"/>
        <w:gridCol w:w="1417"/>
      </w:tblGrid>
      <w:tr w:rsidR="001C3891" w:rsidRPr="001C3891" w:rsidTr="001C3891">
        <w:trPr>
          <w:trHeight w:val="418"/>
        </w:trPr>
        <w:tc>
          <w:tcPr>
            <w:tcW w:w="5825" w:type="dxa"/>
            <w:shd w:val="clear" w:color="auto" w:fill="auto"/>
            <w:vAlign w:val="bottom"/>
            <w:hideMark/>
          </w:tcPr>
          <w:p w:rsidR="001C3891" w:rsidRPr="001C3891" w:rsidRDefault="001C3891" w:rsidP="001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Indicador de Investimento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C3891" w:rsidRPr="001C3891" w:rsidRDefault="001C3891" w:rsidP="001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3891" w:rsidRPr="001C3891" w:rsidRDefault="001C3891" w:rsidP="001C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</w:tr>
      <w:tr w:rsidR="001C3891" w:rsidRPr="001C3891" w:rsidTr="004A4305">
        <w:trPr>
          <w:trHeight w:val="1341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AE5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 investimento está relacionado a atividades que não podem ser financiadas com recursos do Banco Mundial, tais como: bebidas alcoólicas, fumo; edificações para fins religiosos e/ou políticos; insumos ou de animais de grande porte para engorda; terrenos, imóveis e bens usados;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424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Inclui operações comerciais madeireiras (corte de madeira);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544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AE5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Prevê a compra de equipamentos para uso em florestas </w:t>
            </w:r>
            <w:r w:rsidR="00AE5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primárias (matas nativas)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0C4C9A" w:rsidTr="004A4305">
        <w:trPr>
          <w:trHeight w:val="1275"/>
        </w:trPr>
        <w:tc>
          <w:tcPr>
            <w:tcW w:w="5825" w:type="dxa"/>
            <w:shd w:val="clear" w:color="auto" w:fill="auto"/>
            <w:vAlign w:val="center"/>
            <w:hideMark/>
          </w:tcPr>
          <w:p w:rsidR="004965F1" w:rsidRPr="00737D9F" w:rsidRDefault="00A30480" w:rsidP="000A1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     Haverá uso de agrotóxicos e outras substâncias proibidas pela legislação nacional ou cujo uso não seja registrado para a aplicação pretendida, bem como os enquadrados nas Classes I e II, (</w:t>
            </w:r>
            <w:r w:rsidRPr="00737D9F">
              <w:rPr>
                <w:rFonts w:ascii="Times New Roman" w:hAnsi="Times New Roman" w:cs="Times New Roman"/>
                <w:sz w:val="20"/>
                <w:szCs w:val="20"/>
              </w:rPr>
              <w:t>Classe l Extremamente tóxicos cor da Faixa do rótulo vermelha e Classe II Altamente tóxicos cor da Faixa do rótulo amarela)</w:t>
            </w:r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segundo a classificação nacional, e nas Classes Ia e </w:t>
            </w:r>
            <w:proofErr w:type="spellStart"/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</w:t>
            </w:r>
            <w:proofErr w:type="spellEnd"/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segundo a classificação da Organização Mundial de Saúde (OMS);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0A3C56" w:rsidRDefault="00A30480" w:rsidP="004A43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0A3C56" w:rsidRDefault="00A30480" w:rsidP="004A43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1043"/>
        </w:trPr>
        <w:tc>
          <w:tcPr>
            <w:tcW w:w="5825" w:type="dxa"/>
            <w:shd w:val="clear" w:color="auto" w:fill="auto"/>
            <w:vAlign w:val="center"/>
            <w:hideMark/>
          </w:tcPr>
          <w:p w:rsidR="008F68DC" w:rsidRDefault="001C3891" w:rsidP="008F6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Haverá aquisição e uso de agrotóxicos</w:t>
            </w:r>
            <w:r w:rsidR="008F6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sem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receituário agronômico ou </w:t>
            </w:r>
            <w:r w:rsidR="008F6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que o operador não esteja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qualifica</w:t>
            </w:r>
            <w:r w:rsidR="008F6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e protegido com o uso de Equipamentos de Proteção Individual (EPI), como: máscaras, luvas, óculos, botas, roupas apropriadas.</w:t>
            </w:r>
          </w:p>
          <w:p w:rsidR="001C3891" w:rsidRPr="001C3891" w:rsidRDefault="001C3891" w:rsidP="008F6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704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737D9F" w:rsidRDefault="001C3891" w:rsidP="0066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6.     </w:t>
            </w:r>
            <w:r w:rsidR="00664861"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Os resíduos líquidos (efluentes contaminantes) serão lançados no solo ou em </w:t>
            </w:r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mananciais hídricos</w:t>
            </w:r>
            <w:r w:rsidR="00664861"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(reservatórios, rios, lagoas, açudes, riachos, outros)</w:t>
            </w:r>
            <w:r w:rsidR="00737D9F"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557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9B5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 w:rsidR="009B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área escolhida (á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reas de intervenção</w:t>
            </w:r>
            <w:r w:rsidR="009B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é de alto risco de desastres naturais</w:t>
            </w:r>
            <w:r w:rsidR="009B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(enchentes, dunas, morros)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693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9B5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Intervenções em áreas </w:t>
            </w:r>
            <w:r w:rsidR="009B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 problemas jurídicos (</w:t>
            </w:r>
            <w:proofErr w:type="gramStart"/>
            <w:r w:rsidR="009B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em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litígio</w:t>
            </w:r>
            <w:proofErr w:type="gramEnd"/>
            <w:r w:rsidR="009B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e/ou </w:t>
            </w:r>
            <w:r w:rsidR="009B5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em processo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reconhecimento como terras indígenas;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1128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B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Intervenções nas cadeias produtivas prioritárias – (especialmente a </w:t>
            </w:r>
            <w:proofErr w:type="spellStart"/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ovinocaprinocultura</w:t>
            </w:r>
            <w:proofErr w:type="spellEnd"/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/bovinocultura de leite) - situadas em áreas de desertificação </w:t>
            </w:r>
            <w:r w:rsidRPr="001C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adoção de</w:t>
            </w:r>
            <w:r w:rsidR="00BE7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boas práticas ambientais (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planos de manejo agroecológico da Caatinga</w:t>
            </w:r>
            <w:r w:rsidR="00BE7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833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B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Atividades produtivas </w:t>
            </w:r>
            <w:r w:rsidR="00BE7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onde exista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cultivo de florestas/matas/caatinga com finalidade comercial, extração ou queima de madeira no processo de produção;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790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EE0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  <w:r w:rsidRPr="00D73F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7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Atividades que promovam degradação d</w:t>
            </w:r>
            <w:r w:rsidR="00BE7DBD" w:rsidRPr="00D7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natureza como </w:t>
            </w:r>
            <w:r w:rsidRPr="00D7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desmatamento ou perda de vegetação nativa;</w:t>
            </w:r>
            <w:r w:rsidR="00BE7DBD" w:rsidRPr="00D7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30480" w:rsidRPr="000A3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habitat natural crítico (espécies ameaçadas de extinção animais ou vegetais).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1640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E67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Atividades que impliquem na exploração de Mata Atlântica primária ou secundária em estágio avançado de regeneração ou em qualquer estágio de regeneração quando localizada em áreas indicadas como prioritárias para a conservação da biodiversidade pelo 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Ministério do Meio Ambiente (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MMA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ou Órgão Ambiental Competente (</w:t>
            </w:r>
            <w:r w:rsid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IBAMA, IDEMA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ou </w:t>
            </w:r>
            <w:r w:rsidRPr="001C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devida autorização pelo OAC;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1073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E67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E676D5"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Desmatamento de</w:t>
            </w:r>
            <w:r w:rsidR="00E676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vegetação </w:t>
            </w:r>
            <w:r w:rsid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Mata Atlântica para exploração de madeira ou lenha ou para uso alternativo do solo </w:t>
            </w:r>
            <w:r w:rsidRPr="001C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autorização do órgão competente;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705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E67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 </w:t>
            </w:r>
            <w:r w:rsidR="00E676D5"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Desmatamento </w:t>
            </w:r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exploração de vegetação nativa do bioma Caatinga;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985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0A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B18"/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E67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Projeto localizado em área sujeita a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desertificação e com perda de </w:t>
            </w:r>
            <w:r w:rsidR="00E67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espécies naturais e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população </w:t>
            </w:r>
            <w:r w:rsidR="00E67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humana </w:t>
            </w:r>
            <w:r w:rsidRPr="001C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sem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previsão de ações mitigadoras e manejo agroecológico de convivência com o semiárido;</w:t>
            </w:r>
            <w:bookmarkEnd w:id="1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985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Prevê a degradação irreversível ou sem mitigações em Áreas de Relevante Interesse Ambiental, como as 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Zona de Proteção Ambiental (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ZPA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Área de Proteção Permanente (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Área de Proteção Ambiental (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Unidade de Conservação (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UC</w:t>
            </w:r>
            <w:r w:rsidR="0027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e outras categorias enquadradas pe</w:t>
            </w:r>
            <w:r w:rsid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 legislação ambiental vigente;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1E506C">
        <w:trPr>
          <w:trHeight w:val="817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2E4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Atividades e obras </w:t>
            </w:r>
            <w:r w:rsidR="00E67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que </w:t>
            </w:r>
            <w:r w:rsid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resultem em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impactos ambientais considerados significativos e impedidos pela legislação nacional</w:t>
            </w:r>
            <w:r w:rsid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7053E8" w:rsidTr="000A15F1">
        <w:trPr>
          <w:trHeight w:val="688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E506C" w:rsidRDefault="00A30480" w:rsidP="000A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 Atividades ou obras que desobedeçam </w:t>
            </w:r>
            <w:proofErr w:type="gramStart"/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  Código</w:t>
            </w:r>
            <w:proofErr w:type="gramEnd"/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Florestal,</w:t>
            </w:r>
            <w:r w:rsidR="000A15F1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conforme a </w:t>
            </w:r>
            <w:hyperlink r:id="rId8" w:history="1">
              <w:r w:rsidR="000A15F1" w:rsidRPr="000A15F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Lei Nº </w:t>
              </w:r>
              <w:r w:rsidRPr="000A15F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12.651, </w:t>
              </w:r>
              <w:r w:rsidR="000A15F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de</w:t>
              </w:r>
              <w:r w:rsidRPr="000A15F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 25 </w:t>
              </w:r>
              <w:r w:rsidR="000A15F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de maio de</w:t>
              </w:r>
              <w:r w:rsidRPr="000A15F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2012</w:t>
              </w:r>
            </w:hyperlink>
            <w:r w:rsidR="000A15F1">
              <w:rPr>
                <w:rStyle w:val="Hyperlink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;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0A3C56" w:rsidRDefault="00A30480" w:rsidP="004A43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0A3C56" w:rsidRDefault="00A30480" w:rsidP="004A43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3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1E506C">
        <w:trPr>
          <w:trHeight w:val="606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737D9F" w:rsidRDefault="001C3891" w:rsidP="0070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 </w:t>
            </w:r>
            <w:r w:rsidR="007053E8"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Projetos onde haja intervenção negativa em </w:t>
            </w:r>
            <w:r w:rsidRPr="0073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Unidades de Conservação de Proteção Integral;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829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Atividades realizadas em áreas de proteção de mananciais</w:t>
            </w:r>
            <w:r w:rsidR="00705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(lagoas, lagos, açudes, rios, riachos, outros)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legalmente estabelecidas, sem que haja a devida autorização pelo órgão de meio ambiente competente;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0A15F1">
        <w:trPr>
          <w:trHeight w:val="945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A30480" w:rsidP="000A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Realização de atividades em áreas localizadas </w:t>
            </w:r>
            <w:r w:rsidR="00A667E3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próximas ou na margem de segurança (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Zonas de Amortecimento</w:t>
            </w:r>
            <w:r w:rsidR="00A667E3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que representem ameaças à</w:t>
            </w:r>
            <w:r w:rsidR="00737D9F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vida dos animais, 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 </w:t>
            </w:r>
            <w:r w:rsidR="00A667E3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criaç</w:t>
            </w:r>
            <w:r w:rsidR="00507CA1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ão ou soltura de animais </w:t>
            </w:r>
            <w:r w:rsidR="000A15F1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 não pertençam a fauna local;</w:t>
            </w:r>
            <w:r w:rsid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0A15F1">
        <w:trPr>
          <w:trHeight w:val="987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A30480" w:rsidP="000A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Introdução e disseminação de espécies </w:t>
            </w:r>
            <w:r w:rsidR="000A15F1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 não são da fauna local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7CA1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 áreas loc</w:t>
            </w:r>
            <w:r w:rsidR="00737D9F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alizadas próximas ou vizinhas a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Unidade de Conservação</w:t>
            </w:r>
            <w:r w:rsidR="00737D9F"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A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Nas demais áreas, o uso de tais espécies deve ser avaliado previamente;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891" w:rsidRPr="001C3891" w:rsidTr="004A4305">
        <w:trPr>
          <w:trHeight w:val="932"/>
        </w:trPr>
        <w:tc>
          <w:tcPr>
            <w:tcW w:w="5825" w:type="dxa"/>
            <w:shd w:val="clear" w:color="auto" w:fill="auto"/>
            <w:vAlign w:val="center"/>
            <w:hideMark/>
          </w:tcPr>
          <w:p w:rsidR="001C3891" w:rsidRPr="001C3891" w:rsidRDefault="001C3891" w:rsidP="00FC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Utilização ou beneficiamento de produtos derivados de animais da fauna nativa s de caça ou de criadouros não autorizados pelos órgãos competentes</w:t>
            </w:r>
            <w:r w:rsidR="00D2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(IBAMA, IDEMA).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3891" w:rsidRPr="001C3891" w:rsidRDefault="001C3891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CDA" w:rsidRPr="001C3891" w:rsidTr="004A4305">
        <w:trPr>
          <w:trHeight w:val="932"/>
        </w:trPr>
        <w:tc>
          <w:tcPr>
            <w:tcW w:w="5825" w:type="dxa"/>
            <w:shd w:val="clear" w:color="auto" w:fill="auto"/>
            <w:vAlign w:val="center"/>
          </w:tcPr>
          <w:p w:rsidR="00C86CDA" w:rsidRPr="001C3891" w:rsidRDefault="00C86CDA" w:rsidP="00C8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 H</w:t>
            </w:r>
            <w:r w:rsidRPr="00C8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á necessidade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 aquisição </w:t>
            </w:r>
            <w:r w:rsidRPr="00C8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área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C8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para realização do projeto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DA" w:rsidRPr="001C3891" w:rsidRDefault="00C86CDA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6CDA" w:rsidRPr="001C3891" w:rsidRDefault="00C86CDA" w:rsidP="004A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C6E6E" w:rsidRPr="00934CB7" w:rsidRDefault="008C6E6E" w:rsidP="001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E6E" w:rsidRPr="00934CB7" w:rsidRDefault="008C6E6E" w:rsidP="001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6E6E" w:rsidRPr="00934CB7" w:rsidSect="00012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58" w:rsidRDefault="00692158" w:rsidP="0048150D">
      <w:pPr>
        <w:spacing w:after="0" w:line="240" w:lineRule="auto"/>
      </w:pPr>
      <w:r>
        <w:separator/>
      </w:r>
    </w:p>
  </w:endnote>
  <w:endnote w:type="continuationSeparator" w:id="0">
    <w:p w:rsidR="00692158" w:rsidRDefault="00692158" w:rsidP="0048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AC5" w:rsidRDefault="00B75A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AC5" w:rsidRDefault="00B75AC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AC5" w:rsidRDefault="00B75A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58" w:rsidRDefault="00692158" w:rsidP="0048150D">
      <w:pPr>
        <w:spacing w:after="0" w:line="240" w:lineRule="auto"/>
      </w:pPr>
      <w:r>
        <w:separator/>
      </w:r>
    </w:p>
  </w:footnote>
  <w:footnote w:type="continuationSeparator" w:id="0">
    <w:p w:rsidR="00692158" w:rsidRDefault="00692158" w:rsidP="0048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AC5" w:rsidRDefault="00B75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46" w:rsidRPr="00D854B4" w:rsidRDefault="00B75AC5" w:rsidP="00B15246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61D9D3" wp14:editId="1DEE4CE5">
          <wp:simplePos x="0" y="0"/>
          <wp:positionH relativeFrom="column">
            <wp:posOffset>5019675</wp:posOffset>
          </wp:positionH>
          <wp:positionV relativeFrom="paragraph">
            <wp:posOffset>-5080</wp:posOffset>
          </wp:positionV>
          <wp:extent cx="725170" cy="669290"/>
          <wp:effectExtent l="0" t="0" r="0" b="0"/>
          <wp:wrapTight wrapText="bothSides">
            <wp:wrapPolygon edited="0">
              <wp:start x="0" y="0"/>
              <wp:lineTo x="0" y="20903"/>
              <wp:lineTo x="20995" y="20903"/>
              <wp:lineTo x="20995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246">
      <w:rPr>
        <w:noProof/>
      </w:rPr>
      <w:drawing>
        <wp:anchor distT="0" distB="0" distL="114300" distR="114300" simplePos="0" relativeHeight="251660288" behindDoc="1" locked="0" layoutInCell="1" allowOverlap="1" wp14:anchorId="0E495FF4" wp14:editId="2FF2C0AD">
          <wp:simplePos x="0" y="0"/>
          <wp:positionH relativeFrom="column">
            <wp:posOffset>-394390</wp:posOffset>
          </wp:positionH>
          <wp:positionV relativeFrom="paragraph">
            <wp:posOffset>-386</wp:posOffset>
          </wp:positionV>
          <wp:extent cx="669925" cy="628015"/>
          <wp:effectExtent l="0" t="0" r="0" b="635"/>
          <wp:wrapTight wrapText="bothSides">
            <wp:wrapPolygon edited="0">
              <wp:start x="2457" y="0"/>
              <wp:lineTo x="0" y="2621"/>
              <wp:lineTo x="0" y="10483"/>
              <wp:lineTo x="2457" y="20967"/>
              <wp:lineTo x="4300" y="20967"/>
              <wp:lineTo x="15970" y="20967"/>
              <wp:lineTo x="17812" y="20967"/>
              <wp:lineTo x="20883" y="14415"/>
              <wp:lineTo x="20883" y="3276"/>
              <wp:lineTo x="17812" y="0"/>
              <wp:lineTo x="2457" y="0"/>
            </wp:wrapPolygon>
          </wp:wrapTight>
          <wp:docPr id="4" name="Imagem 4" descr="brasao 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r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246" w:rsidRPr="00D854B4">
      <w:rPr>
        <w:rFonts w:ascii="Times New Roman" w:hAnsi="Times New Roman"/>
        <w:sz w:val="20"/>
        <w:szCs w:val="20"/>
      </w:rPr>
      <w:t>REPÚBLICA FEDERATIVA DO BRASIL</w:t>
    </w:r>
  </w:p>
  <w:p w:rsidR="00B15246" w:rsidRPr="00D854B4" w:rsidRDefault="00B15246" w:rsidP="00B15246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854B4">
      <w:rPr>
        <w:rFonts w:ascii="Times New Roman" w:hAnsi="Times New Roman"/>
        <w:sz w:val="20"/>
        <w:szCs w:val="20"/>
      </w:rPr>
      <w:t>GOVERNO DO ESTADO DO RIO GRANDE DO NORTE</w:t>
    </w:r>
  </w:p>
  <w:p w:rsidR="00B15246" w:rsidRPr="00D854B4" w:rsidRDefault="00B15246" w:rsidP="00B15246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854B4">
      <w:rPr>
        <w:rFonts w:ascii="Times New Roman" w:hAnsi="Times New Roman"/>
        <w:sz w:val="20"/>
        <w:szCs w:val="20"/>
      </w:rPr>
      <w:t>SECRETARIA DE ESTADO DO PLANEJAMENTO E DAS FINANÇAS</w:t>
    </w:r>
  </w:p>
  <w:p w:rsidR="00B15246" w:rsidRPr="00D854B4" w:rsidRDefault="00B15246" w:rsidP="00B15246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854B4">
      <w:rPr>
        <w:rFonts w:ascii="Times New Roman" w:hAnsi="Times New Roman"/>
        <w:sz w:val="20"/>
        <w:szCs w:val="20"/>
      </w:rPr>
      <w:t>PROJETO INTEGRADO DE DESENVOLVIMENTO SUSTENTÁVEL</w:t>
    </w:r>
  </w:p>
  <w:p w:rsidR="00B15246" w:rsidRPr="00D854B4" w:rsidRDefault="00B15246" w:rsidP="00B15246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D854B4">
      <w:rPr>
        <w:rFonts w:ascii="Times New Roman" w:hAnsi="Times New Roman"/>
        <w:sz w:val="20"/>
        <w:szCs w:val="20"/>
      </w:rPr>
      <w:t>UNIDADE DE GERENCIAMENTO DO PROJETO</w:t>
    </w:r>
  </w:p>
  <w:p w:rsidR="0048150D" w:rsidRDefault="0048150D" w:rsidP="001C3891">
    <w:pPr>
      <w:pStyle w:val="Cabealho"/>
    </w:pPr>
  </w:p>
  <w:p w:rsidR="001C3891" w:rsidRPr="001C3891" w:rsidRDefault="001C3891" w:rsidP="001C389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AC5" w:rsidRDefault="00B75A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52EFF"/>
    <w:multiLevelType w:val="hybridMultilevel"/>
    <w:tmpl w:val="63703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91E12"/>
    <w:multiLevelType w:val="hybridMultilevel"/>
    <w:tmpl w:val="A00A1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E0FA9"/>
    <w:multiLevelType w:val="hybridMultilevel"/>
    <w:tmpl w:val="7EFE71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F8"/>
    <w:rsid w:val="00012AF2"/>
    <w:rsid w:val="000137D3"/>
    <w:rsid w:val="00076EFE"/>
    <w:rsid w:val="000A15F1"/>
    <w:rsid w:val="000A3C56"/>
    <w:rsid w:val="000C4C9A"/>
    <w:rsid w:val="001B318B"/>
    <w:rsid w:val="001C3891"/>
    <w:rsid w:val="001E506C"/>
    <w:rsid w:val="00232C22"/>
    <w:rsid w:val="00274E99"/>
    <w:rsid w:val="002B27DA"/>
    <w:rsid w:val="002E4121"/>
    <w:rsid w:val="00316AD0"/>
    <w:rsid w:val="003248B5"/>
    <w:rsid w:val="003303B8"/>
    <w:rsid w:val="003A41D4"/>
    <w:rsid w:val="003B34D6"/>
    <w:rsid w:val="004242BE"/>
    <w:rsid w:val="00436384"/>
    <w:rsid w:val="0048150D"/>
    <w:rsid w:val="004955C0"/>
    <w:rsid w:val="004965F1"/>
    <w:rsid w:val="004A4305"/>
    <w:rsid w:val="004A441F"/>
    <w:rsid w:val="00507CA1"/>
    <w:rsid w:val="00516395"/>
    <w:rsid w:val="00532F75"/>
    <w:rsid w:val="005F70C2"/>
    <w:rsid w:val="006137C2"/>
    <w:rsid w:val="006550DC"/>
    <w:rsid w:val="00664861"/>
    <w:rsid w:val="00692158"/>
    <w:rsid w:val="00692AD6"/>
    <w:rsid w:val="006B72D6"/>
    <w:rsid w:val="007053E8"/>
    <w:rsid w:val="00714A2F"/>
    <w:rsid w:val="00737D9F"/>
    <w:rsid w:val="007668E7"/>
    <w:rsid w:val="007D648B"/>
    <w:rsid w:val="007D723B"/>
    <w:rsid w:val="00897E32"/>
    <w:rsid w:val="008C6E6E"/>
    <w:rsid w:val="008F68DC"/>
    <w:rsid w:val="00934CB7"/>
    <w:rsid w:val="009B5E8B"/>
    <w:rsid w:val="00A126B8"/>
    <w:rsid w:val="00A30480"/>
    <w:rsid w:val="00A667E3"/>
    <w:rsid w:val="00AB5225"/>
    <w:rsid w:val="00AE4883"/>
    <w:rsid w:val="00AE5CE0"/>
    <w:rsid w:val="00B1234E"/>
    <w:rsid w:val="00B15246"/>
    <w:rsid w:val="00B66EF8"/>
    <w:rsid w:val="00B75AC5"/>
    <w:rsid w:val="00BC13D1"/>
    <w:rsid w:val="00BE7DBD"/>
    <w:rsid w:val="00C116B4"/>
    <w:rsid w:val="00C67B50"/>
    <w:rsid w:val="00C77A53"/>
    <w:rsid w:val="00C86CDA"/>
    <w:rsid w:val="00CD5B8E"/>
    <w:rsid w:val="00D25ACD"/>
    <w:rsid w:val="00D73FB6"/>
    <w:rsid w:val="00DB58C6"/>
    <w:rsid w:val="00DD453C"/>
    <w:rsid w:val="00DF7051"/>
    <w:rsid w:val="00E67618"/>
    <w:rsid w:val="00E676D5"/>
    <w:rsid w:val="00EE051D"/>
    <w:rsid w:val="00F277BA"/>
    <w:rsid w:val="00F830B2"/>
    <w:rsid w:val="00F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98736D-FB32-4324-B577-AAF5A684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52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81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50D"/>
  </w:style>
  <w:style w:type="paragraph" w:styleId="Rodap">
    <w:name w:val="footer"/>
    <w:basedOn w:val="Normal"/>
    <w:link w:val="RodapChar"/>
    <w:uiPriority w:val="99"/>
    <w:unhideWhenUsed/>
    <w:rsid w:val="00481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50D"/>
  </w:style>
  <w:style w:type="paragraph" w:styleId="Textodebalo">
    <w:name w:val="Balloon Text"/>
    <w:basedOn w:val="Normal"/>
    <w:link w:val="TextodebaloChar"/>
    <w:uiPriority w:val="99"/>
    <w:semiHidden/>
    <w:unhideWhenUsed/>
    <w:rsid w:val="001C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8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053E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053E8"/>
    <w:rPr>
      <w:color w:val="0000FF"/>
      <w:u w:val="single"/>
    </w:rPr>
  </w:style>
  <w:style w:type="paragraph" w:styleId="Reviso">
    <w:name w:val="Revision"/>
    <w:hidden/>
    <w:uiPriority w:val="99"/>
    <w:semiHidden/>
    <w:rsid w:val="000A3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2.651-2012?OpenDocu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C0408-9AAE-490D-9C6F-C8EF5BAD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Josivan</dc:creator>
  <cp:lastModifiedBy>Usuario</cp:lastModifiedBy>
  <cp:revision>2</cp:revision>
  <dcterms:created xsi:type="dcterms:W3CDTF">2015-08-10T12:37:00Z</dcterms:created>
  <dcterms:modified xsi:type="dcterms:W3CDTF">2015-08-10T12:37:00Z</dcterms:modified>
</cp:coreProperties>
</file>